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6192"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459368984"/>
      <w:bookmarkStart w:id="1" w:name="_Toc500335755"/>
      <w:bookmarkStart w:id="2" w:name="_Toc8273"/>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64"/>
            <w:bookmarkEnd w:id="3"/>
            <w:bookmarkStart w:id="4" w:name="_Hlt39393716"/>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500335756"/>
      <w:bookmarkStart w:id="6" w:name="_Toc459368985"/>
      <w:bookmarkStart w:id="7" w:name="_Toc1847"/>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104" w:name="_GoBack"/>
      <w:bookmarkEnd w:id="104"/>
      <w:bookmarkStart w:id="8" w:name="_Toc459368986"/>
      <w:bookmarkStart w:id="9" w:name="_Toc500335757"/>
      <w:bookmarkStart w:id="10" w:name="_Toc27522"/>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_Toc8273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_Toc8273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_Toc1847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保密承诺</w:t>
      </w:r>
      <w:r>
        <w:tab/>
      </w:r>
      <w:r>
        <w:fldChar w:fldCharType="begin"/>
      </w:r>
      <w:r>
        <w:instrText xml:space="preserve"> PAGEREF _Toc1847 </w:instrText>
      </w:r>
      <w:r>
        <w:fldChar w:fldCharType="separate"/>
      </w:r>
      <w:r>
        <w:t>3</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_Toc27522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前言</w:t>
      </w:r>
      <w:r>
        <w:tab/>
      </w:r>
      <w:r>
        <w:fldChar w:fldCharType="begin"/>
      </w:r>
      <w:r>
        <w:instrText xml:space="preserve"> PAGEREF _Toc27522 </w:instrText>
      </w:r>
      <w:r>
        <w:fldChar w:fldCharType="separate"/>
      </w:r>
      <w:r>
        <w:t>4</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_Toc29533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第1章 概述</w:t>
      </w:r>
      <w:r>
        <w:tab/>
      </w:r>
      <w:r>
        <w:fldChar w:fldCharType="begin"/>
      </w:r>
      <w:r>
        <w:instrText xml:space="preserve"> PAGEREF _Toc29533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_Toc32392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1.1 巡检范围</w:t>
      </w:r>
      <w:r>
        <w:tab/>
      </w:r>
      <w:r>
        <w:fldChar w:fldCharType="begin"/>
      </w:r>
      <w:r>
        <w:instrText xml:space="preserve"> PAGEREF _Toc32392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_Toc29183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1.2 联系方式</w:t>
      </w:r>
      <w:r>
        <w:tab/>
      </w:r>
      <w:r>
        <w:fldChar w:fldCharType="begin"/>
      </w:r>
      <w:r>
        <w:instrText xml:space="preserve"> PAGEREF _Toc29183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_Toc8484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1.3 巡检目标</w:t>
      </w:r>
      <w:r>
        <w:tab/>
      </w:r>
      <w:r>
        <w:fldChar w:fldCharType="begin"/>
      </w:r>
      <w:r>
        <w:instrText xml:space="preserve"> PAGEREF _Toc8484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_Toc24008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1.4 巡检约定</w:t>
      </w:r>
      <w:r>
        <w:tab/>
      </w:r>
      <w:r>
        <w:fldChar w:fldCharType="begin"/>
      </w:r>
      <w:r>
        <w:instrText xml:space="preserve"> PAGEREF _Toc24008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_Toc21908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1.5 巡检内容</w:t>
      </w:r>
      <w:r>
        <w:tab/>
      </w:r>
      <w:r>
        <w:fldChar w:fldCharType="begin"/>
      </w:r>
      <w:r>
        <w:instrText xml:space="preserve"> PAGEREF _Toc21908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第2章 巡检总结</w:t>
      </w:r>
      <w:r>
        <w:tab/>
      </w:r>
      <w:r>
        <w:fldChar w:fldCharType="begin"/>
      </w:r>
      <w:r>
        <w:instrText xml:space="preserve"> PAGEREF _Toc310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_Toc12467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2.1 基本信息</w:t>
      </w:r>
      <w:r>
        <w:tab/>
      </w:r>
      <w:r>
        <w:fldChar w:fldCharType="begin"/>
      </w:r>
      <w:r>
        <w:instrText xml:space="preserve"> PAGEREF _Toc12467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_Toc2240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2.2 异常问题汇总</w:t>
      </w:r>
      <w:r>
        <w:tab/>
      </w:r>
      <w:r>
        <w:fldChar w:fldCharType="begin"/>
      </w:r>
      <w:r>
        <w:instrText xml:space="preserve"> PAGEREF _Toc2240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_Toc5115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2.3 硬件健康异常说明</w:t>
      </w:r>
      <w:r>
        <w:tab/>
      </w:r>
      <w:r>
        <w:fldChar w:fldCharType="begin"/>
      </w:r>
      <w:r>
        <w:instrText xml:space="preserve"> PAGEREF _Toc5115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_Toc9045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2.4 平台运行状态异常说明</w:t>
      </w:r>
      <w:r>
        <w:tab/>
      </w:r>
      <w:r>
        <w:fldChar w:fldCharType="begin"/>
      </w:r>
      <w:r>
        <w:instrText xml:space="preserve"> PAGEREF _Toc9045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_Toc24722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2.5 平台配置异常说明</w:t>
      </w:r>
      <w:r>
        <w:tab/>
      </w:r>
      <w:r>
        <w:fldChar w:fldCharType="begin"/>
      </w:r>
      <w:r>
        <w:instrText xml:space="preserve"> PAGEREF _Toc24722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_Toc11183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2.6 平台资源异常说明</w:t>
      </w:r>
      <w:r>
        <w:tab/>
      </w:r>
      <w:r>
        <w:fldChar w:fldCharType="begin"/>
      </w:r>
      <w:r>
        <w:instrText xml:space="preserve"> PAGEREF _Toc11183 </w:instrText>
      </w:r>
      <w:r>
        <w:fldChar w:fldCharType="separate"/>
      </w:r>
      <w:r>
        <w:t>8</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_Toc13260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第3章 巡检的详细结果</w:t>
      </w:r>
      <w:r>
        <w:tab/>
      </w:r>
      <w:r>
        <w:fldChar w:fldCharType="begin"/>
      </w:r>
      <w:r>
        <w:instrText xml:space="preserve"> PAGEREF _Toc13260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_Toc18759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 硬件健康检测</w:t>
      </w:r>
      <w:r>
        <w:tab/>
      </w:r>
      <w:r>
        <w:fldChar w:fldCharType="begin"/>
      </w:r>
      <w:r>
        <w:instrText xml:space="preserve"> PAGEREF _Toc18759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 平台运行状态检测</w:t>
      </w:r>
      <w:r>
        <w:tab/>
      </w:r>
      <w:r>
        <w:fldChar w:fldCharType="begin"/>
      </w:r>
      <w:r>
        <w:instrText xml:space="preserve"> PAGEREF _Toc208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_Toc11765 </w:instrText>
      </w:r>
      <w:r>
        <w:rPr>
          <w:rFonts w:hint="eastAsia" w:ascii="微软雅黑" w:hAnsi="微软雅黑" w:eastAsia="微软雅黑" w:cs="微软雅黑"/>
          <w:szCs w:val="32"/>
        </w:rPr>
        <w:fldChar w:fldCharType="separate"/>
      </w:r>
      <w:r>
        <w:rPr>
          <w:rFonts w:hint="eastAsia" w:eastAsia="微软雅黑" w:cs="微软雅黑"/>
        </w:rPr>
        <w:t>3.2.1 系统分区检测</w:t>
      </w:r>
      <w:r>
        <w:tab/>
      </w:r>
      <w:r>
        <w:fldChar w:fldCharType="begin"/>
      </w:r>
      <w:r>
        <w:instrText xml:space="preserve"> PAGEREF _Toc11765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_Toc14395 </w:instrText>
      </w:r>
      <w:r>
        <w:rPr>
          <w:rFonts w:hint="eastAsia" w:ascii="微软雅黑" w:hAnsi="微软雅黑" w:eastAsia="微软雅黑" w:cs="微软雅黑"/>
          <w:szCs w:val="32"/>
        </w:rPr>
        <w:fldChar w:fldCharType="separate"/>
      </w:r>
      <w:r>
        <w:rPr>
          <w:rFonts w:hint="eastAsia" w:eastAsia="微软雅黑" w:cs="微软雅黑"/>
        </w:rPr>
        <w:t>3.2.2 虚拟存储检测</w:t>
      </w:r>
      <w:r>
        <w:tab/>
      </w:r>
      <w:r>
        <w:fldChar w:fldCharType="begin"/>
      </w:r>
      <w:r>
        <w:instrText xml:space="preserve"> PAGEREF _Toc14395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_Toc32124 </w:instrText>
      </w:r>
      <w:r>
        <w:rPr>
          <w:rFonts w:hint="eastAsia" w:ascii="微软雅黑" w:hAnsi="微软雅黑" w:eastAsia="微软雅黑" w:cs="微软雅黑"/>
          <w:szCs w:val="32"/>
        </w:rPr>
        <w:fldChar w:fldCharType="separate"/>
      </w:r>
      <w:r>
        <w:rPr>
          <w:rFonts w:hint="eastAsia" w:eastAsia="微软雅黑" w:cs="微软雅黑"/>
        </w:rPr>
        <w:t>3.2.3 平台配置文件检测</w:t>
      </w:r>
      <w:r>
        <w:tab/>
      </w:r>
      <w:r>
        <w:fldChar w:fldCharType="begin"/>
      </w:r>
      <w:r>
        <w:instrText xml:space="preserve"> PAGEREF _Toc32124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_Toc30194 </w:instrText>
      </w:r>
      <w:r>
        <w:rPr>
          <w:rFonts w:hint="eastAsia" w:ascii="微软雅黑" w:hAnsi="微软雅黑" w:eastAsia="微软雅黑" w:cs="微软雅黑"/>
          <w:szCs w:val="32"/>
        </w:rPr>
        <w:fldChar w:fldCharType="separate"/>
      </w:r>
      <w:r>
        <w:rPr>
          <w:rFonts w:hint="eastAsia" w:eastAsia="微软雅黑" w:cs="微软雅黑"/>
        </w:rPr>
        <w:t>3.2.4 平台服务项检测</w:t>
      </w:r>
      <w:r>
        <w:tab/>
      </w:r>
      <w:r>
        <w:fldChar w:fldCharType="begin"/>
      </w:r>
      <w:r>
        <w:instrText xml:space="preserve"> PAGEREF _Toc30194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_Toc5781 </w:instrText>
      </w:r>
      <w:r>
        <w:rPr>
          <w:rFonts w:hint="eastAsia" w:ascii="微软雅黑" w:hAnsi="微软雅黑" w:eastAsia="微软雅黑" w:cs="微软雅黑"/>
          <w:szCs w:val="32"/>
        </w:rPr>
        <w:fldChar w:fldCharType="separate"/>
      </w:r>
      <w:r>
        <w:rPr>
          <w:rFonts w:hint="eastAsia" w:eastAsia="微软雅黑" w:cs="微软雅黑"/>
        </w:rPr>
        <w:t>3.2.5 存储空间检测</w:t>
      </w:r>
      <w:r>
        <w:tab/>
      </w:r>
      <w:r>
        <w:fldChar w:fldCharType="begin"/>
      </w:r>
      <w:r>
        <w:instrText xml:space="preserve"> PAGEREF _Toc5781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_Toc11915 </w:instrText>
      </w:r>
      <w:r>
        <w:rPr>
          <w:rFonts w:hint="eastAsia" w:ascii="微软雅黑" w:hAnsi="微软雅黑" w:eastAsia="微软雅黑" w:cs="微软雅黑"/>
          <w:szCs w:val="32"/>
        </w:rPr>
        <w:fldChar w:fldCharType="separate"/>
      </w:r>
      <w:r>
        <w:rPr>
          <w:rFonts w:hint="eastAsia" w:eastAsia="微软雅黑" w:cs="微软雅黑"/>
        </w:rPr>
        <w:t>3.2.6 备份空间检测</w:t>
      </w:r>
      <w:r>
        <w:tab/>
      </w:r>
      <w:r>
        <w:fldChar w:fldCharType="begin"/>
      </w:r>
      <w:r>
        <w:instrText xml:space="preserve"> PAGEREF _Toc11915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_Toc28985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 平台配置检测</w:t>
      </w:r>
      <w:r>
        <w:tab/>
      </w:r>
      <w:r>
        <w:fldChar w:fldCharType="begin"/>
      </w:r>
      <w:r>
        <w:instrText xml:space="preserve"> PAGEREF _Toc28985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_Toc24818 </w:instrText>
      </w:r>
      <w:r>
        <w:rPr>
          <w:rFonts w:hint="eastAsia" w:ascii="微软雅黑" w:hAnsi="微软雅黑" w:eastAsia="微软雅黑" w:cs="微软雅黑"/>
          <w:szCs w:val="32"/>
        </w:rPr>
        <w:fldChar w:fldCharType="separate"/>
      </w:r>
      <w:r>
        <w:rPr>
          <w:rFonts w:hint="eastAsia" w:eastAsia="微软雅黑" w:cs="微软雅黑"/>
        </w:rPr>
        <w:t>3.3.1 网口检测</w:t>
      </w:r>
      <w:r>
        <w:tab/>
      </w:r>
      <w:r>
        <w:fldChar w:fldCharType="begin"/>
      </w:r>
      <w:r>
        <w:instrText xml:space="preserve"> PAGEREF _Toc24818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_Toc9262 </w:instrText>
      </w:r>
      <w:r>
        <w:rPr>
          <w:rFonts w:hint="eastAsia" w:ascii="微软雅黑" w:hAnsi="微软雅黑" w:eastAsia="微软雅黑" w:cs="微软雅黑"/>
          <w:szCs w:val="32"/>
        </w:rPr>
        <w:fldChar w:fldCharType="separate"/>
      </w:r>
      <w:r>
        <w:rPr>
          <w:rFonts w:hint="eastAsia" w:eastAsia="微软雅黑" w:cs="微软雅黑"/>
        </w:rPr>
        <w:t>3.3.2 虚拟机备份检测</w:t>
      </w:r>
      <w:r>
        <w:tab/>
      </w:r>
      <w:r>
        <w:fldChar w:fldCharType="begin"/>
      </w:r>
      <w:r>
        <w:instrText xml:space="preserve"> PAGEREF _Toc9262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_Toc13873 </w:instrText>
      </w:r>
      <w:r>
        <w:rPr>
          <w:rFonts w:hint="eastAsia" w:ascii="微软雅黑" w:hAnsi="微软雅黑" w:eastAsia="微软雅黑" w:cs="微软雅黑"/>
          <w:szCs w:val="32"/>
        </w:rPr>
        <w:fldChar w:fldCharType="separate"/>
      </w:r>
      <w:r>
        <w:rPr>
          <w:rFonts w:hint="eastAsia" w:eastAsia="微软雅黑" w:cs="微软雅黑"/>
        </w:rPr>
        <w:t>3.3.3 CDP备份检测</w:t>
      </w:r>
      <w:r>
        <w:tab/>
      </w:r>
      <w:r>
        <w:fldChar w:fldCharType="begin"/>
      </w:r>
      <w:r>
        <w:instrText xml:space="preserve"> PAGEREF _Toc13873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_Toc29746 </w:instrText>
      </w:r>
      <w:r>
        <w:rPr>
          <w:rFonts w:hint="eastAsia" w:ascii="微软雅黑" w:hAnsi="微软雅黑" w:eastAsia="微软雅黑" w:cs="微软雅黑"/>
          <w:szCs w:val="32"/>
        </w:rPr>
        <w:fldChar w:fldCharType="separate"/>
      </w:r>
      <w:r>
        <w:rPr>
          <w:rFonts w:hint="eastAsia" w:eastAsia="微软雅黑" w:cs="微软雅黑"/>
        </w:rPr>
        <w:t>3.3.4 序列号有效性检测</w:t>
      </w:r>
      <w:r>
        <w:tab/>
      </w:r>
      <w:r>
        <w:fldChar w:fldCharType="begin"/>
      </w:r>
      <w:r>
        <w:instrText xml:space="preserve"> PAGEREF _Toc29746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_Toc2183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 业务健康检测</w:t>
      </w:r>
      <w:r>
        <w:tab/>
      </w:r>
      <w:r>
        <w:fldChar w:fldCharType="begin"/>
      </w:r>
      <w:r>
        <w:instrText xml:space="preserve"> PAGEREF _Toc2183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_Toc8494 </w:instrText>
      </w:r>
      <w:r>
        <w:rPr>
          <w:rFonts w:hint="eastAsia" w:ascii="微软雅黑" w:hAnsi="微软雅黑" w:eastAsia="微软雅黑" w:cs="微软雅黑"/>
          <w:szCs w:val="32"/>
        </w:rPr>
        <w:fldChar w:fldCharType="separate"/>
      </w:r>
      <w:r>
        <w:rPr>
          <w:rFonts w:hint="eastAsia" w:eastAsia="微软雅黑" w:cs="微软雅黑"/>
        </w:rPr>
        <w:t>3.4.1 虚拟机资源检查</w:t>
      </w:r>
      <w:r>
        <w:tab/>
      </w:r>
      <w:r>
        <w:fldChar w:fldCharType="begin"/>
      </w:r>
      <w:r>
        <w:instrText xml:space="preserve"> PAGEREF _Toc8494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_Toc21558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3.5 平台资源检测</w:t>
      </w:r>
      <w:r>
        <w:tab/>
      </w:r>
      <w:r>
        <w:fldChar w:fldCharType="begin"/>
      </w:r>
      <w:r>
        <w:instrText xml:space="preserve"> PAGEREF _Toc21558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_Toc2650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第4章 附录</w:t>
      </w:r>
      <w:r>
        <w:tab/>
      </w:r>
      <w:r>
        <w:fldChar w:fldCharType="begin"/>
      </w:r>
      <w:r>
        <w:instrText xml:space="preserve"> PAGEREF _Toc2650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_Toc26535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4.1 问题咨询</w:t>
      </w:r>
      <w:r>
        <w:tab/>
      </w:r>
      <w:r>
        <w:fldChar w:fldCharType="begin"/>
      </w:r>
      <w:r>
        <w:instrText xml:space="preserve"> PAGEREF _Toc26535 </w:instrText>
      </w:r>
      <w:r>
        <w:fldChar w:fldCharType="separate"/>
      </w:r>
      <w:r>
        <w:t>18</w:t>
      </w:r>
      <w:r>
        <w:fldChar w:fldCharType="end"/>
      </w:r>
      <w:r>
        <w:rPr>
          <w:rFonts w:hint="eastAsia" w:ascii="微软雅黑" w:hAnsi="微软雅黑" w:eastAsia="微软雅黑" w:cs="微软雅黑"/>
          <w:color w:val="365F90"/>
          <w:szCs w:val="32"/>
        </w:rP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29533"/>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26931265"/>
      <w:bookmarkStart w:id="15" w:name="_Toc526858551"/>
      <w:bookmarkStart w:id="16" w:name="_Toc526858866"/>
      <w:bookmarkStart w:id="17" w:name="_Toc526858465"/>
      <w:bookmarkStart w:id="18" w:name="_Toc32392"/>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本健康检查针对客户aCloud产品的系统服务、配置、硬件健康、虚拟机、日志、网络、授权等进行检查。对客户部署在aCloud上的数据库和资源消耗高的虚拟机检查。</w:t>
      </w:r>
    </w:p>
    <w:p>
      <w:pPr>
        <w:pStyle w:val="44"/>
        <w:spacing w:before="156" w:after="156"/>
        <w:ind w:firstLine="300"/>
        <w:rPr>
          <w:rFonts w:ascii="微软雅黑" w:hAnsi="微软雅黑" w:eastAsia="微软雅黑" w:cs="微软雅黑"/>
        </w:rPr>
      </w:pPr>
      <w:bookmarkStart w:id="19" w:name="_Toc29183"/>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526858868"/>
      <w:bookmarkStart w:id="22" w:name="_Toc526858467"/>
      <w:bookmarkStart w:id="23" w:name="_Toc526931267"/>
      <w:bookmarkStart w:id="24" w:name="_Toc8484"/>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858468"/>
      <w:bookmarkStart w:id="26" w:name="_Toc526931268"/>
      <w:bookmarkStart w:id="27" w:name="_Toc526858554"/>
      <w:bookmarkStart w:id="28" w:name="_Toc526858869"/>
      <w:bookmarkStart w:id="29" w:name="_Toc24008"/>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931269"/>
      <w:bookmarkStart w:id="31" w:name="_Toc526858555"/>
      <w:bookmarkStart w:id="32" w:name="_Toc526858870"/>
      <w:bookmarkStart w:id="33" w:name="_Toc526858469"/>
      <w:bookmarkStart w:id="34" w:name="_Toc21908"/>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858556"/>
      <w:bookmarkStart w:id="36" w:name="_Toc526858470"/>
      <w:bookmarkStart w:id="37" w:name="_Toc526858871"/>
      <w:bookmarkStart w:id="38" w:name="_Toc526849647"/>
      <w:bookmarkStart w:id="39" w:name="_Toc526931270"/>
      <w:bookmarkStart w:id="40" w:name="_Toc310"/>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12467"/>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default" w:cs="宋体"/>
                <w:color w:val="000000"/>
                <w:sz w:val="30"/>
                <w:szCs w:val="30"/>
              </w:rPr>
            </w:pPr>
            <w:r>
              <w:rPr>
                <w:rFonts w:ascii="微软雅黑" w:hAnsi="微软雅黑" w:eastAsia="微软雅黑" w:cs="微软雅黑"/>
                <w:sz w:val="21"/>
                <w:szCs w:val="21"/>
              </w:rPr>
              <w:t>{{now_time}}{{new_time}}</w:t>
            </w:r>
            <w:r>
              <w:rPr>
                <w:rFonts w:hint="default" w:cs="宋体"/>
                <w:color w:val="00000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2240"/>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总计问题</w:t>
            </w:r>
          </w:p>
        </w:tc>
        <w:tc>
          <w:tcPr>
            <w:tcW w:w="3225"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必须修复</w:t>
            </w:r>
          </w:p>
        </w:tc>
        <w:tc>
          <w:tcPr>
            <w:tcW w:w="2940"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themeFill="background1"/>
            <w:vAlign w:val="center"/>
          </w:tcPr>
          <w:p>
            <w:pPr>
              <w:pStyle w:val="27"/>
              <w:shd w:val="clear" w:color="auto" w:fill="FFFFFF"/>
              <w:jc w:val="center"/>
              <w:rPr>
                <w:rFonts w:hint="default" w:cs="宋体"/>
                <w:color w:val="000000"/>
                <w:sz w:val="30"/>
                <w:szCs w:val="30"/>
              </w:rPr>
            </w:pPr>
            <w:r>
              <w:rPr>
                <w:rFonts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61312"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931272"/>
      <w:bookmarkStart w:id="44" w:name="_Toc526858873"/>
      <w:bookmarkStart w:id="45" w:name="_Toc526858472"/>
      <w:bookmarkStart w:id="46" w:name="_Toc526858558"/>
      <w:bookmarkStart w:id="47" w:name="_Toc5115"/>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858559"/>
      <w:bookmarkStart w:id="49" w:name="_Toc526858473"/>
      <w:bookmarkStart w:id="50" w:name="_Toc526858874"/>
      <w:bookmarkStart w:id="51" w:name="_Toc526931273"/>
      <w:bookmarkStart w:id="52" w:name="_Toc9045"/>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875"/>
      <w:bookmarkStart w:id="54" w:name="_Toc526931274"/>
      <w:bookmarkStart w:id="55" w:name="_Toc526858560"/>
      <w:bookmarkStart w:id="56" w:name="_Toc526858474"/>
      <w:bookmarkStart w:id="57" w:name="_Toc24722"/>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rPr>
        <w:t>aCloud平台配置检测，如网口配置、虚拟机备份配置、序列号有效性等检测项检查存在的问题，以及整改措施。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left="1020" w:firstLine="0" w:firstLineChars="0"/>
        <w:rPr>
          <w:rFonts w:ascii="微软雅黑" w:hAnsi="微软雅黑" w:eastAsia="微软雅黑" w:cs="微软雅黑"/>
          <w:bCs/>
          <w:snapToGrid w:val="0"/>
          <w:sz w:val="30"/>
          <w:szCs w:val="30"/>
        </w:rPr>
      </w:pPr>
    </w:p>
    <w:p>
      <w:pPr>
        <w:pStyle w:val="44"/>
        <w:spacing w:before="156" w:after="156"/>
        <w:ind w:firstLine="300"/>
        <w:rPr>
          <w:rFonts w:ascii="微软雅黑" w:hAnsi="微软雅黑" w:eastAsia="微软雅黑" w:cs="微软雅黑"/>
        </w:rPr>
      </w:pPr>
      <w:bookmarkStart w:id="58" w:name="_Toc526858877"/>
      <w:bookmarkStart w:id="59" w:name="_Toc526931276"/>
      <w:bookmarkStart w:id="60" w:name="_Toc526858562"/>
      <w:bookmarkStart w:id="61" w:name="_Toc526858476"/>
      <w:bookmarkStart w:id="62" w:name="_Toc11183"/>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rPr>
        <w:t>aCloud平台剩余资源使用量，存在的问题，以及整改措施。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96"/>
        <w:spacing w:before="468" w:after="156"/>
        <w:rPr>
          <w:rFonts w:ascii="微软雅黑" w:hAnsi="微软雅黑" w:eastAsia="微软雅黑" w:cs="微软雅黑"/>
        </w:rPr>
      </w:pPr>
      <w:bookmarkStart w:id="63" w:name="_Toc526931277"/>
      <w:bookmarkStart w:id="64" w:name="_Toc13260"/>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526931278"/>
      <w:bookmarkStart w:id="66" w:name="_Toc18759"/>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526931279"/>
      <w:bookmarkStart w:id="68" w:name="_Toc208"/>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11765"/>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14395"/>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32124"/>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30194"/>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5781"/>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11915"/>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526931280"/>
      <w:bookmarkStart w:id="76" w:name="_Toc28985"/>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r>
        <w:rPr>
          <w:rFonts w:hint="eastAsia" w:ascii="微软雅黑" w:hAnsi="微软雅黑" w:cs="微软雅黑"/>
        </w:rPr>
        <w:t>aCloud平台配置检测，如网口配置、虚拟机备份配置、序列号有效性等检测项巡检明细。</w:t>
      </w:r>
    </w:p>
    <w:p>
      <w:pPr>
        <w:pStyle w:val="47"/>
        <w:spacing w:before="156" w:after="156"/>
        <w:rPr>
          <w:rFonts w:eastAsia="微软雅黑" w:cs="微软雅黑"/>
        </w:rPr>
      </w:pPr>
      <w:bookmarkStart w:id="77" w:name="_Toc24818"/>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9262"/>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13873"/>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29746"/>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858566"/>
      <w:bookmarkStart w:id="82" w:name="_Toc526931281"/>
      <w:bookmarkStart w:id="83" w:name="_Toc526858881"/>
      <w:bookmarkStart w:id="84" w:name="_Toc526858480"/>
    </w:p>
    <w:p>
      <w:pPr>
        <w:pStyle w:val="44"/>
        <w:spacing w:before="156" w:after="156"/>
        <w:ind w:firstLine="300"/>
        <w:rPr>
          <w:rFonts w:ascii="微软雅黑" w:hAnsi="微软雅黑" w:eastAsia="微软雅黑" w:cs="微软雅黑"/>
        </w:rPr>
      </w:pPr>
      <w:bookmarkStart w:id="85" w:name="_Toc2183"/>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931282"/>
      <w:bookmarkStart w:id="87" w:name="_Toc526858882"/>
      <w:bookmarkStart w:id="88" w:name="_Toc526858481"/>
      <w:bookmarkStart w:id="89" w:name="_Toc526858567"/>
      <w:bookmarkStart w:id="90" w:name="_Toc8494"/>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418"/>
        <w:gridCol w:w="1417"/>
        <w:gridCol w:w="1276"/>
        <w:gridCol w:w="1418"/>
        <w:gridCol w:w="12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41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2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IO写速度</w:t>
            </w:r>
          </w:p>
        </w:tc>
        <w:tc>
          <w:tcPr>
            <w:tcW w:w="12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IO读速度</w:t>
            </w:r>
          </w:p>
        </w:tc>
        <w:tc>
          <w:tcPr>
            <w:tcW w:w="113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check_top_vms.items()%}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417"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{{item.cpu_ratio}}</w:t>
            </w:r>
          </w:p>
        </w:tc>
        <w:tc>
          <w:tcPr>
            <w:tcW w:w="12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{{item.diskwrite}}</w:t>
            </w:r>
          </w:p>
        </w:tc>
        <w:tc>
          <w:tcPr>
            <w:tcW w:w="12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{{item.diskread}}</w:t>
            </w:r>
          </w:p>
        </w:tc>
        <w:tc>
          <w:tcPr>
            <w:tcW w:w="1134" w:type="dxa"/>
            <w:vAlign w:val="center"/>
          </w:tcPr>
          <w:p>
            <w:pPr>
              <w:jc w:val="center"/>
              <w:rPr>
                <w:rFonts w:ascii="微软雅黑" w:hAnsi="微软雅黑" w:eastAsia="微软雅黑" w:cs="微软雅黑"/>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21558"/>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检查aCloud平台CPU、内存、磁盘资源使用情况。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858884"/>
      <w:bookmarkStart w:id="94" w:name="_Toc526858483"/>
      <w:bookmarkStart w:id="95" w:name="_Toc526931285"/>
      <w:bookmarkStart w:id="96" w:name="_Toc526849649"/>
      <w:bookmarkStart w:id="97" w:name="_Toc526858569"/>
      <w:bookmarkStart w:id="98" w:name="_Toc2650"/>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26535"/>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0"/>
    <w:family w:val="swiss"/>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15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r>
                  <w:rPr>
                    <w:rFonts w:ascii="微软雅黑" w:hAnsi="微软雅黑" w:eastAsia="微软雅黑"/>
                    <w:sz w:val="18"/>
                  </w:rPr>
                  <w:t xml:space="preserve">                </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3826"/>
        </w:tabs>
        <w:ind w:left="3826"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4796"/>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4"/>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667BD"/>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26C89"/>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4A0A"/>
    <w:rsid w:val="00525AEE"/>
    <w:rsid w:val="00532B08"/>
    <w:rsid w:val="0053390B"/>
    <w:rsid w:val="005413C5"/>
    <w:rsid w:val="00542C9B"/>
    <w:rsid w:val="00543C75"/>
    <w:rsid w:val="00546A2C"/>
    <w:rsid w:val="00551D41"/>
    <w:rsid w:val="005559A6"/>
    <w:rsid w:val="00560D2D"/>
    <w:rsid w:val="005633A9"/>
    <w:rsid w:val="0056376B"/>
    <w:rsid w:val="00570683"/>
    <w:rsid w:val="00574E55"/>
    <w:rsid w:val="005830AA"/>
    <w:rsid w:val="00585A80"/>
    <w:rsid w:val="00596DC7"/>
    <w:rsid w:val="005A0621"/>
    <w:rsid w:val="005A1967"/>
    <w:rsid w:val="005A1BE3"/>
    <w:rsid w:val="005A23BD"/>
    <w:rsid w:val="005A38CC"/>
    <w:rsid w:val="005B5FD4"/>
    <w:rsid w:val="005B723A"/>
    <w:rsid w:val="005B7B39"/>
    <w:rsid w:val="005C0FF8"/>
    <w:rsid w:val="005C37E3"/>
    <w:rsid w:val="005D4B2B"/>
    <w:rsid w:val="005E7962"/>
    <w:rsid w:val="005F3458"/>
    <w:rsid w:val="005F370E"/>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114"/>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04B10"/>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04DBD"/>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348E"/>
    <w:rsid w:val="00BE7D1A"/>
    <w:rsid w:val="00BF0021"/>
    <w:rsid w:val="00BF01CA"/>
    <w:rsid w:val="00C0442C"/>
    <w:rsid w:val="00C10B2A"/>
    <w:rsid w:val="00C11611"/>
    <w:rsid w:val="00C152E8"/>
    <w:rsid w:val="00C15314"/>
    <w:rsid w:val="00C16358"/>
    <w:rsid w:val="00C21B5C"/>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3B02"/>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07568"/>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9FA327A"/>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94066F"/>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EFA2C-71FD-483B-9377-5A1FC8547CD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1447</Words>
  <Characters>8254</Characters>
  <Lines>68</Lines>
  <Paragraphs>19</Paragraphs>
  <TotalTime>0</TotalTime>
  <ScaleCrop>false</ScaleCrop>
  <LinksUpToDate>false</LinksUpToDate>
  <CharactersWithSpaces>9682</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2020-03-10T08:28:03Z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